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附件1</w:t>
      </w:r>
    </w:p>
    <w:p>
      <w:pPr>
        <w:pStyle w:val="2"/>
        <w:rPr>
          <w:rFonts w:hint="eastAsia"/>
        </w:rPr>
      </w:pPr>
    </w:p>
    <w:p>
      <w:pPr>
        <w:keepNext w:val="0"/>
        <w:keepLines w:val="0"/>
        <w:pageBreakBefore w:val="0"/>
        <w:kinsoku/>
        <w:overflowPunct/>
        <w:topLinePunct w:val="0"/>
        <w:autoSpaceDE/>
        <w:autoSpaceDN/>
        <w:bidi w:val="0"/>
        <w:spacing w:line="560" w:lineRule="exact"/>
        <w:jc w:val="center"/>
        <w:textAlignment w:val="auto"/>
        <w:rPr>
          <w:rFonts w:hint="eastAsia" w:ascii="原版宋体" w:hAnsi="原版宋体" w:eastAsia="方正小标宋简体" w:cs="方正小标宋简体"/>
          <w:color w:val="000000" w:themeColor="text1"/>
          <w:sz w:val="44"/>
          <w:szCs w:val="44"/>
          <w:lang w:eastAsia="zh-CN"/>
          <w14:textFill>
            <w14:solidFill>
              <w14:schemeClr w14:val="tx1"/>
            </w14:solidFill>
          </w14:textFill>
        </w:rPr>
      </w:pPr>
      <w:r>
        <w:rPr>
          <w:rFonts w:hint="eastAsia" w:ascii="原版宋体" w:hAnsi="原版宋体" w:eastAsia="方正小标宋简体" w:cs="方正小标宋简体"/>
          <w:color w:val="000000" w:themeColor="text1"/>
          <w:sz w:val="44"/>
          <w:szCs w:val="44"/>
          <w14:textFill>
            <w14:solidFill>
              <w14:schemeClr w14:val="tx1"/>
            </w14:solidFill>
          </w14:textFill>
        </w:rPr>
        <w:t>湖南省卫生系列高级职称</w:t>
      </w:r>
      <w:r>
        <w:rPr>
          <w:rFonts w:hint="eastAsia" w:ascii="原版宋体" w:hAnsi="原版宋体" w:eastAsia="方正小标宋简体" w:cs="方正小标宋简体"/>
          <w:color w:val="000000" w:themeColor="text1"/>
          <w:sz w:val="44"/>
          <w:szCs w:val="44"/>
          <w:lang w:eastAsia="zh-CN"/>
          <w14:textFill>
            <w14:solidFill>
              <w14:schemeClr w14:val="tx1"/>
            </w14:solidFill>
          </w14:textFill>
        </w:rPr>
        <w:t>专业理论考试</w:t>
      </w:r>
    </w:p>
    <w:p>
      <w:pPr>
        <w:keepNext w:val="0"/>
        <w:keepLines w:val="0"/>
        <w:pageBreakBefore w:val="0"/>
        <w:kinsoku/>
        <w:overflowPunct/>
        <w:topLinePunct w:val="0"/>
        <w:autoSpaceDE/>
        <w:autoSpaceDN/>
        <w:bidi w:val="0"/>
        <w:spacing w:line="560" w:lineRule="exact"/>
        <w:jc w:val="center"/>
        <w:textAlignment w:val="auto"/>
        <w:rPr>
          <w:rFonts w:hint="eastAsia" w:ascii="原版宋体" w:hAnsi="原版宋体" w:eastAsia="仿宋_GB2312" w:cs="仿宋_GB2312"/>
          <w:color w:val="000000" w:themeColor="text1"/>
          <w:sz w:val="44"/>
          <w:szCs w:val="44"/>
          <w14:textFill>
            <w14:solidFill>
              <w14:schemeClr w14:val="tx1"/>
            </w14:solidFill>
          </w14:textFill>
        </w:rPr>
      </w:pPr>
      <w:r>
        <w:rPr>
          <w:rFonts w:hint="eastAsia" w:ascii="原版宋体" w:hAnsi="原版宋体" w:eastAsia="方正小标宋简体" w:cs="方正小标宋简体"/>
          <w:color w:val="000000" w:themeColor="text1"/>
          <w:sz w:val="44"/>
          <w:szCs w:val="44"/>
          <w:lang w:val="en-US" w:eastAsia="zh-CN"/>
          <w14:textFill>
            <w14:solidFill>
              <w14:schemeClr w14:val="tx1"/>
            </w14:solidFill>
          </w14:textFill>
        </w:rPr>
        <w:t>报考</w:t>
      </w:r>
      <w:r>
        <w:rPr>
          <w:rFonts w:hint="eastAsia" w:ascii="原版宋体" w:hAnsi="原版宋体" w:eastAsia="方正小标宋简体" w:cs="方正小标宋简体"/>
          <w:color w:val="000000" w:themeColor="text1"/>
          <w:sz w:val="44"/>
          <w:szCs w:val="44"/>
          <w14:textFill>
            <w14:solidFill>
              <w14:schemeClr w14:val="tx1"/>
            </w14:solidFill>
          </w14:textFill>
        </w:rPr>
        <w:t>条件</w:t>
      </w:r>
    </w:p>
    <w:p>
      <w:pPr>
        <w:pStyle w:val="13"/>
        <w:keepNext w:val="0"/>
        <w:keepLines w:val="0"/>
        <w:pageBreakBefore w:val="0"/>
        <w:numPr>
          <w:ilvl w:val="255"/>
          <w:numId w:val="0"/>
        </w:numPr>
        <w:kinsoku/>
        <w:overflowPunct/>
        <w:topLinePunct w:val="0"/>
        <w:autoSpaceDE/>
        <w:autoSpaceDN/>
        <w:bidi w:val="0"/>
        <w:spacing w:line="560" w:lineRule="exact"/>
        <w:textAlignment w:val="auto"/>
        <w:rPr>
          <w:rFonts w:hint="eastAsia" w:ascii="原版宋体" w:hAnsi="原版宋体" w:eastAsia="仿宋_GB2312" w:cs="仿宋_GB2312"/>
          <w:color w:val="000000" w:themeColor="text1"/>
          <w:szCs w:val="32"/>
          <w14:textFill>
            <w14:solidFill>
              <w14:schemeClr w14:val="tx1"/>
            </w14:solidFill>
          </w14:textFill>
        </w:rPr>
      </w:pP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14:textFill>
            <w14:solidFill>
              <w14:schemeClr w14:val="tx1"/>
            </w14:solidFill>
          </w14:textFill>
        </w:rPr>
      </w:pPr>
      <w:r>
        <w:rPr>
          <w:rFonts w:hint="eastAsia" w:ascii="原版宋体" w:hAnsi="原版宋体" w:eastAsia="黑体" w:cs="黑体"/>
          <w:color w:val="000000" w:themeColor="text1"/>
          <w:szCs w:val="32"/>
          <w14:textFill>
            <w14:solidFill>
              <w14:schemeClr w14:val="tx1"/>
            </w14:solidFill>
          </w14:textFill>
        </w:rPr>
        <w:t>一、基本条件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一）拥护党的路线、方针、政策，遵守国家宪法和法律，贯彻新时代卫生与健康工作方针，遵守医疗卫生工作规章制度，自觉践行“敬佑生命、救死扶伤、甘于奉献、大爱无疆”的职业精神，具备良好的政治素质、协作精神、敬业精神和医德医风。</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（二）身心健康，心理素质良好，能全面履行岗位职责。</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14:textFill>
            <w14:solidFill>
              <w14:schemeClr w14:val="tx1"/>
            </w14:solidFill>
          </w14:textFill>
        </w:rPr>
      </w:pPr>
      <w:r>
        <w:rPr>
          <w:rFonts w:hint="eastAsia" w:ascii="原版宋体" w:hAnsi="原版宋体" w:eastAsia="黑体" w:cs="黑体"/>
          <w:color w:val="000000" w:themeColor="text1"/>
          <w:szCs w:val="32"/>
          <w14:textFill>
            <w14:solidFill>
              <w14:schemeClr w14:val="tx1"/>
            </w14:solidFill>
          </w14:textFill>
        </w:rPr>
        <w:t>二、学历（学位）与资历条件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根据《实施方案》相关要求，申报参评人员的学历、资历须符合以下条件：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（一）申报参评正高职称的人员，应具备以下条件：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lang w:val="en-US" w:eastAsia="zh-CN"/>
          <w14:textFill>
            <w14:solidFill>
              <w14:schemeClr w14:val="tx1"/>
            </w14:solidFill>
          </w14:textFill>
        </w:rPr>
        <w:t>1.</w:t>
      </w:r>
      <w:r>
        <w:rPr>
          <w:rFonts w:hint="eastAsia" w:ascii="原版宋体" w:hAnsi="原版宋体" w:eastAsia="仿宋_GB2312" w:cs="仿宋_GB2312"/>
          <w:color w:val="000000" w:themeColor="text1"/>
          <w:szCs w:val="32"/>
          <w14:textFill>
            <w14:solidFill>
              <w14:schemeClr w14:val="tx1"/>
            </w14:solidFill>
          </w14:textFill>
        </w:rPr>
        <w:t>主任医师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具备大学本科及以上学历或学士及以上学位，受聘担任副主任医师职务满5年。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2.主任护师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具备大学本科及以上学历或学士及以上学位，受聘担任副主任护师职务满5年。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3.主任药师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具备大学本科及以上学历或学士及以上学位，受聘担任副主任药师职务满5年。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4.主任技师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具备大学本科及以上学历或学士及以上学位，受聘担任副主任技师职务满5年。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（二）申报参评副高职称的人员，应具备以下条件：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1.副主任医师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具备大学本科及以上学历或学士及以上学位，受聘担任主治（主管）医师职务满5年；或具备大专学历，在县级及以下基层医疗卫生机构工作，受聘担任主治（主管）医师职务满7年。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2.副主任护师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具备大学本科及以上学历或学士及以上学位，受聘担任主管护师职务满5年；或具备大专学历，受聘担任主管护师职务满7年。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3.副主任药师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具备大学本科及以上学历或学士及以上学位，受聘担任主管药师职务满5年；或具备大专学历，受聘担任主管药师职务满7年。</w:t>
      </w:r>
    </w:p>
    <w:p>
      <w:pPr>
        <w:pStyle w:val="2"/>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 w:val="32"/>
          <w:szCs w:val="32"/>
          <w14:textFill>
            <w14:solidFill>
              <w14:schemeClr w14:val="tx1"/>
            </w14:solidFill>
          </w14:textFill>
        </w:rPr>
      </w:pPr>
      <w:r>
        <w:rPr>
          <w:rFonts w:hint="eastAsia" w:ascii="原版宋体" w:hAnsi="原版宋体" w:eastAsia="仿宋_GB2312" w:cs="仿宋_GB2312"/>
          <w:color w:val="000000" w:themeColor="text1"/>
          <w:sz w:val="32"/>
          <w:szCs w:val="32"/>
          <w14:textFill>
            <w14:solidFill>
              <w14:schemeClr w14:val="tx1"/>
            </w14:solidFill>
          </w14:textFill>
        </w:rPr>
        <w:t>4.副主任技师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具备大学本科及以上学历或学士及以上学位，受聘担任主管技师职务满5年；或具备大专学历，受聘担任主管技师职务满7年。</w:t>
      </w:r>
    </w:p>
    <w:p>
      <w:pPr>
        <w:keepNext w:val="0"/>
        <w:keepLines w:val="0"/>
        <w:pageBreakBefore w:val="0"/>
        <w:numPr>
          <w:ilvl w:val="0"/>
          <w:numId w:val="1"/>
        </w:numPr>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学历（学位）要求是指国家认可的正规院校毕业学历（学位），申报参评医、药、护类的学历为相应医药卫生类学历（学位），申报参评技术类专业的学历为相关医药卫生类学历（学位）。学历（学位）证书上注明“全日制”“脱产”字样的，归为全脱产类学历，此类学历人员聘期须减去学习时间（能提供在职佐证材料的除外）；学历（学位）证书上注明“在职”、“函授”字样的，归为在职类学历，此类人员聘期不受影响。</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（四）报考人员的任职资格截止至2023年12月31日。</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lang w:val="en-US" w:eastAsia="zh-CN"/>
          <w14:textFill>
            <w14:solidFill>
              <w14:schemeClr w14:val="tx1"/>
            </w14:solidFill>
          </w14:textFill>
        </w:rPr>
      </w:pPr>
      <w:r>
        <w:rPr>
          <w:rFonts w:hint="eastAsia" w:ascii="原版宋体" w:hAnsi="原版宋体" w:eastAsia="黑体" w:cs="黑体"/>
          <w:color w:val="000000" w:themeColor="text1"/>
          <w:szCs w:val="32"/>
          <w14:textFill>
            <w14:solidFill>
              <w14:schemeClr w14:val="tx1"/>
            </w14:solidFill>
          </w14:textFill>
        </w:rPr>
        <w:t>三、</w:t>
      </w:r>
      <w:r>
        <w:rPr>
          <w:rFonts w:hint="eastAsia" w:ascii="原版宋体" w:hAnsi="原版宋体" w:eastAsia="黑体" w:cs="黑体"/>
          <w:color w:val="000000" w:themeColor="text1"/>
          <w:szCs w:val="32"/>
          <w:lang w:val="en-US" w:eastAsia="zh-CN"/>
          <w14:textFill>
            <w14:solidFill>
              <w14:schemeClr w14:val="tx1"/>
            </w14:solidFill>
          </w14:textFill>
        </w:rPr>
        <w:t>工作量要求</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用人单位根据《实施方案》中《晋升高级职称工作量要求》（见附表1，以下简称《工作量要求》）的工作量考核原则，合理细化本单位各专业工作量考核指标</w:t>
      </w:r>
      <w:r>
        <w:rPr>
          <w:rFonts w:hint="eastAsia" w:ascii="原版宋体" w:hAnsi="原版宋体" w:eastAsia="仿宋_GB2312" w:cs="仿宋_GB2312"/>
          <w:color w:val="000000" w:themeColor="text1"/>
          <w:szCs w:val="32"/>
          <w:lang w:val="en-US" w:eastAsia="zh-CN"/>
          <w14:textFill>
            <w14:solidFill>
              <w14:schemeClr w14:val="tx1"/>
            </w14:solidFill>
          </w14:textFill>
        </w:rPr>
        <w:t>并公示</w:t>
      </w:r>
      <w:r>
        <w:rPr>
          <w:rFonts w:hint="eastAsia" w:ascii="原版宋体" w:hAnsi="原版宋体" w:eastAsia="仿宋_GB2312" w:cs="仿宋_GB2312"/>
          <w:color w:val="000000" w:themeColor="text1"/>
          <w:szCs w:val="32"/>
          <w14:textFill>
            <w14:solidFill>
              <w14:schemeClr w14:val="tx1"/>
            </w14:solidFill>
          </w14:textFill>
        </w:rPr>
        <w:t>。达不到《工作量要求》的参评人员，用人单位不得推荐参评。</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14:textFill>
            <w14:solidFill>
              <w14:schemeClr w14:val="tx1"/>
            </w14:solidFill>
          </w14:textFill>
        </w:rPr>
      </w:pPr>
      <w:r>
        <w:rPr>
          <w:rFonts w:hint="eastAsia" w:ascii="原版宋体" w:hAnsi="原版宋体" w:eastAsia="黑体" w:cs="黑体"/>
          <w:color w:val="000000" w:themeColor="text1"/>
          <w:szCs w:val="32"/>
          <w:lang w:val="en-US" w:eastAsia="zh-CN"/>
          <w14:textFill>
            <w14:solidFill>
              <w14:schemeClr w14:val="tx1"/>
            </w14:solidFill>
          </w14:textFill>
        </w:rPr>
        <w:t>四、</w:t>
      </w:r>
      <w:r>
        <w:rPr>
          <w:rFonts w:hint="eastAsia" w:ascii="原版宋体" w:hAnsi="原版宋体" w:eastAsia="黑体" w:cs="黑体"/>
          <w:color w:val="000000" w:themeColor="text1"/>
          <w:szCs w:val="32"/>
          <w14:textFill>
            <w14:solidFill>
              <w14:schemeClr w14:val="tx1"/>
            </w14:solidFill>
          </w14:textFill>
        </w:rPr>
        <w:t>执业资格准入规定</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申报参评医学类、护理类专业的，应取得执业医师（不含助理执业医师）、执业护士资格证书，并按规定注册取得相应执业证书。根据《中华人民共和国医师法》及有关文件规定，医学类申报参评人员应严格按照注册的执业类别、执业范围，选择相应专业申报参评。</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根据医疗机构实际情况，结合专业技术人员注册范围和工作岗位不一致的问题，允许执业范围为中西医结合的医师申报参评中医妇科学、中医儿科学、中医眼科学、中医肛肠科学、中医耳鼻喉科学、中医针灸科学、中医皮肤病学、中医推拿科学专业。允许执业范围为中医专业（精神）和中西医结合（精神）的医师申报参评精神病学专业。允许执业范围为妇产科的医师申报参评妇女保健专业，执业范围为儿科的医师申报参评儿童保健专业。心电诊断岗位的医师（执业范围为内科、心电诊断、医学影像和放射治疗）可申报参评心电诊断专业。脑电诊断岗位的医师（执业范围为内科、医学影像和放射治疗）可申报参评脑电诊断专业。允许心电诊断（执业范围为内科、心电诊断、医学影像和放射治疗）、脑电诊断（执业范围为内科、医学影像和放射治疗）岗位的医师以心电学技术、脑电图技术的中级职称作为台阶，申报参评高级职称的心电诊断、脑电诊断专业。允许执业范围为医学检验、病理专业的临床医师以临床医学检验技术副高职称作为台阶申报参评临床医学检验学专业。2023年</w:t>
      </w:r>
      <w:r>
        <w:rPr>
          <w:rFonts w:hint="eastAsia" w:ascii="原版宋体" w:hAnsi="原版宋体" w:eastAsia="仿宋_GB2312" w:cs="仿宋_GB2312"/>
          <w:color w:val="000000" w:themeColor="text1"/>
          <w:kern w:val="0"/>
          <w:szCs w:val="32"/>
          <w:shd w:val="clear" w:color="auto" w:fill="FFFFFF"/>
          <w14:textFill>
            <w14:solidFill>
              <w14:schemeClr w14:val="tx1"/>
            </w14:solidFill>
          </w14:textFill>
        </w:rPr>
        <w:t>聘任卫生系列其他专业职称的，可以原聘任中级或副高级职称作为台阶申报参评卫生管理专业副高或正高职称；自2024年起，</w:t>
      </w:r>
      <w:r>
        <w:rPr>
          <w:rFonts w:hint="eastAsia" w:ascii="原版宋体" w:hAnsi="原版宋体" w:eastAsia="仿宋_GB2312" w:cs="仿宋_GB2312"/>
          <w:color w:val="000000" w:themeColor="text1"/>
          <w:szCs w:val="32"/>
          <w14:textFill>
            <w14:solidFill>
              <w14:schemeClr w14:val="tx1"/>
            </w14:solidFill>
          </w14:textFill>
        </w:rPr>
        <w:t>申报参评卫生管理专业高级职称须取得下一级卫生（医院）管理专业职称并聘任满1年且符合相应申报条件。</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14:textFill>
            <w14:solidFill>
              <w14:schemeClr w14:val="tx1"/>
            </w14:solidFill>
          </w14:textFill>
        </w:rPr>
      </w:pPr>
      <w:r>
        <w:rPr>
          <w:rFonts w:hint="eastAsia" w:ascii="原版宋体" w:hAnsi="原版宋体" w:eastAsia="黑体" w:cs="黑体"/>
          <w:color w:val="000000" w:themeColor="text1"/>
          <w:szCs w:val="32"/>
          <w:lang w:val="en-US" w:eastAsia="zh-CN"/>
          <w14:textFill>
            <w14:solidFill>
              <w14:schemeClr w14:val="tx1"/>
            </w14:solidFill>
          </w14:textFill>
        </w:rPr>
        <w:t>五</w:t>
      </w:r>
      <w:r>
        <w:rPr>
          <w:rFonts w:hint="eastAsia" w:ascii="原版宋体" w:hAnsi="原版宋体" w:eastAsia="黑体" w:cs="黑体"/>
          <w:color w:val="000000" w:themeColor="text1"/>
          <w:szCs w:val="32"/>
          <w14:textFill>
            <w14:solidFill>
              <w14:schemeClr w14:val="tx1"/>
            </w14:solidFill>
          </w14:textFill>
        </w:rPr>
        <w:t>、基层服务规定</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按照《中华人民共和国基本医疗卫生与健康促进法》规定，“执业医师晋升为副高级职称的，应当有累计1年以上在县级以下或者对口支援的医疗卫生机构提供医疗卫生服务的经历”。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14:textFill>
            <w14:solidFill>
              <w14:schemeClr w14:val="tx1"/>
            </w14:solidFill>
          </w14:textFill>
        </w:rPr>
      </w:pPr>
      <w:r>
        <w:rPr>
          <w:rFonts w:hint="eastAsia" w:ascii="原版宋体" w:hAnsi="原版宋体" w:eastAsia="华文楷体" w:cs="华文楷体"/>
          <w:color w:val="000000" w:themeColor="text1"/>
          <w14:textFill>
            <w14:solidFill>
              <w14:schemeClr w14:val="tx1"/>
            </w14:solidFill>
          </w14:textFill>
        </w:rPr>
        <w:t>（一）下基层对象</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在政府办城市（市州人民政府所在地）二级及以上医疗卫生单位工作，申报参评临床、口腔、中医、中西医结合等类别副主任医师职称的人员。</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14:textFill>
            <w14:solidFill>
              <w14:schemeClr w14:val="tx1"/>
            </w14:solidFill>
          </w14:textFill>
        </w:rPr>
      </w:pPr>
      <w:r>
        <w:rPr>
          <w:rFonts w:hint="eastAsia" w:ascii="原版宋体" w:hAnsi="原版宋体" w:eastAsia="华文楷体" w:cs="华文楷体"/>
          <w:color w:val="000000" w:themeColor="text1"/>
          <w14:textFill>
            <w14:solidFill>
              <w14:schemeClr w14:val="tx1"/>
            </w14:solidFill>
          </w14:textFill>
        </w:rPr>
        <w:t>（二）下基层服务单位</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原则上城市三级医院医师需到县级医疗单位或乡镇卫生院、社区卫生服务中心（站）服务；城市二级医院医师需到乡镇卫生院、社区卫生服务中心（站）服务。同一城区的社区卫生服务机构、二级以上医院在社区设立的分支机构不能作为下基层服务单位。</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14:textFill>
            <w14:solidFill>
              <w14:schemeClr w14:val="tx1"/>
            </w14:solidFill>
          </w14:textFill>
        </w:rPr>
      </w:pPr>
      <w:r>
        <w:rPr>
          <w:rFonts w:hint="eastAsia" w:ascii="原版宋体" w:hAnsi="原版宋体" w:eastAsia="华文楷体" w:cs="华文楷体"/>
          <w:color w:val="000000" w:themeColor="text1"/>
          <w14:textFill>
            <w14:solidFill>
              <w14:schemeClr w14:val="tx1"/>
            </w14:solidFill>
          </w14:textFill>
        </w:rPr>
        <w:t>（三）下基层服务方式</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下基层服务必须从实际出发，按需支援，不拘形式，讲究实际效果。支援医院可以根据需求与受援单位商定对口支援的形式，实行坐诊与巡诊相结合，可开展巡回医疗、走村入户、技术咨询、培训教育等。服务结果须经服务单位及所在地卫生健康行政部门考核合格。</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14:textFill>
            <w14:solidFill>
              <w14:schemeClr w14:val="tx1"/>
            </w14:solidFill>
          </w14:textFill>
        </w:rPr>
      </w:pPr>
      <w:r>
        <w:rPr>
          <w:rFonts w:hint="eastAsia" w:ascii="原版宋体" w:hAnsi="原版宋体" w:eastAsia="华文楷体" w:cs="华文楷体"/>
          <w:color w:val="000000" w:themeColor="text1"/>
          <w14:textFill>
            <w14:solidFill>
              <w14:schemeClr w14:val="tx1"/>
            </w14:solidFill>
          </w14:textFill>
        </w:rPr>
        <w:t>（四）以下情况视同下基层服务经历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1.取得医师资格以来，受组织派遣承担援外、援藏、援疆等以及突发公共事件处置等任务，或经省级卫生健康行政部门批准的全省三级医院对口支援县级医院等工作任务，经考核合格的，视同基层服务经历，服务时间以参加以上任务的实际工作时间计算，有其他具体规定的从其规定。</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2.从县及县以下医疗卫生单位公开招聘或按规定程序调动到城市医疗卫生机构工作的执业医师，其在县及县以下医疗卫生单位的工作时间可计算为基层工作经历。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华文楷体" w:cs="华文楷体"/>
          <w:color w:val="000000" w:themeColor="text1"/>
          <w14:textFill>
            <w14:solidFill>
              <w14:schemeClr w14:val="tx1"/>
            </w14:solidFill>
          </w14:textFill>
        </w:rPr>
      </w:pPr>
      <w:r>
        <w:rPr>
          <w:rFonts w:hint="eastAsia" w:ascii="原版宋体" w:hAnsi="原版宋体" w:eastAsia="华文楷体" w:cs="华文楷体"/>
          <w:color w:val="000000" w:themeColor="text1"/>
          <w14:textFill>
            <w14:solidFill>
              <w14:schemeClr w14:val="tx1"/>
            </w14:solidFill>
          </w14:textFill>
        </w:rPr>
        <w:t>（五）以下人员不作要求</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1.截至申报参评年度12月31日，年满50周岁及以上申报参评人员。</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sectPr>
          <w:footerReference r:id="rId3" w:type="default"/>
          <w:pgSz w:w="11906" w:h="16838"/>
          <w:pgMar w:top="2098" w:right="1531" w:bottom="1587" w:left="1531" w:header="851" w:footer="1191" w:gutter="0"/>
          <w:pgNumType w:fmt="decimal"/>
          <w:cols w:space="0" w:num="1"/>
          <w:rtlGutter w:val="0"/>
          <w:docGrid w:type="lines" w:linePitch="595" w:charSpace="0"/>
        </w:sectPr>
      </w:pPr>
      <w:r>
        <w:rPr>
          <w:rFonts w:hint="eastAsia" w:ascii="原版宋体" w:hAnsi="原版宋体" w:eastAsia="仿宋_GB2312" w:cs="仿宋_GB2312"/>
          <w:color w:val="000000" w:themeColor="text1"/>
          <w14:textFill>
            <w14:solidFill>
              <w14:schemeClr w14:val="tx1"/>
            </w14:solidFill>
          </w14:textFill>
        </w:rPr>
        <w:t>2.部队转业、党政机关调入转入企事业单位从事专业技术工</w:t>
      </w:r>
    </w:p>
    <w:p>
      <w:pPr>
        <w:keepNext w:val="0"/>
        <w:keepLines w:val="0"/>
        <w:pageBreakBefore w:val="0"/>
        <w:kinsoku/>
        <w:overflowPunct/>
        <w:topLinePunct w:val="0"/>
        <w:autoSpaceDE/>
        <w:autoSpaceDN/>
        <w:bidi w:val="0"/>
        <w:spacing w:line="560" w:lineRule="exact"/>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作，首次申报参评职称的人员。</w:t>
      </w:r>
    </w:p>
    <w:p>
      <w:pPr>
        <w:pStyle w:val="13"/>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hint="eastAsia" w:ascii="原版宋体" w:hAnsi="原版宋体" w:eastAsia="黑体" w:cs="黑体"/>
          <w:color w:val="000000" w:themeColor="text1"/>
          <w:szCs w:val="32"/>
          <w14:textFill>
            <w14:solidFill>
              <w14:schemeClr w14:val="tx1"/>
            </w14:solidFill>
          </w14:textFill>
        </w:rPr>
      </w:pPr>
      <w:r>
        <w:rPr>
          <w:rFonts w:hint="eastAsia" w:ascii="原版宋体" w:hAnsi="原版宋体" w:eastAsia="黑体" w:cs="黑体"/>
          <w:color w:val="000000" w:themeColor="text1"/>
          <w:szCs w:val="32"/>
          <w:lang w:val="en-US" w:eastAsia="zh-CN"/>
          <w14:textFill>
            <w14:solidFill>
              <w14:schemeClr w14:val="tx1"/>
            </w14:solidFill>
          </w14:textFill>
        </w:rPr>
        <w:t>六</w:t>
      </w:r>
      <w:r>
        <w:rPr>
          <w:rFonts w:hint="eastAsia" w:ascii="原版宋体" w:hAnsi="原版宋体" w:eastAsia="黑体" w:cs="黑体"/>
          <w:color w:val="000000" w:themeColor="text1"/>
          <w:szCs w:val="32"/>
          <w14:textFill>
            <w14:solidFill>
              <w14:schemeClr w14:val="tx1"/>
            </w14:solidFill>
          </w14:textFill>
        </w:rPr>
        <w:t>、年度考核规定</w:t>
      </w:r>
      <w:r>
        <w:rPr>
          <w:rFonts w:hint="eastAsia" w:ascii="原版宋体" w:hAnsi="原版宋体" w:eastAsia="黑体" w:cs="黑体"/>
          <w:color w:val="000000" w:themeColor="text1"/>
          <w:szCs w:val="32"/>
          <w14:textFill>
            <w14:solidFill>
              <w14:schemeClr w14:val="tx1"/>
            </w14:solidFill>
          </w14:textFill>
        </w:rPr>
        <w:tab/>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szCs w:val="32"/>
          <w14:textFill>
            <w14:solidFill>
              <w14:schemeClr w14:val="tx1"/>
            </w14:solidFill>
          </w14:textFill>
        </w:rPr>
      </w:pPr>
      <w:r>
        <w:rPr>
          <w:rFonts w:hint="eastAsia" w:ascii="原版宋体" w:hAnsi="原版宋体" w:eastAsia="仿宋_GB2312" w:cs="仿宋_GB2312"/>
          <w:color w:val="000000" w:themeColor="text1"/>
          <w:szCs w:val="32"/>
          <w14:textFill>
            <w14:solidFill>
              <w14:schemeClr w14:val="tx1"/>
            </w14:solidFill>
          </w14:textFill>
        </w:rPr>
        <w:t>提供担任现职以来最近连续5年年度考核结果（因2023年度考核还未进行，2023年度考核登记表免于提供，享受提前申报政策的参评人员提供4个年度）。军转干部（专业技术士官）在部队工作期间未进行年度考核者，需提供部队团以上单位相关佐证材料。年度考核结果由高级职称评审委员会评议，可作为“一票否决”的评议内容。年度考核结果为“基本合格”、“不合格”、“不定等次”的，须由所在单位提供相关情况说明及佐证材料并加盖公章。</w:t>
      </w:r>
    </w:p>
    <w:p>
      <w:pPr>
        <w:keepNext w:val="0"/>
        <w:keepLines w:val="0"/>
        <w:pageBreakBefore w:val="0"/>
        <w:widowControl/>
        <w:kinsoku/>
        <w:overflowPunct/>
        <w:topLinePunct w:val="0"/>
        <w:autoSpaceDE/>
        <w:autoSpaceDN/>
        <w:bidi w:val="0"/>
        <w:spacing w:line="560" w:lineRule="exact"/>
        <w:ind w:firstLine="640" w:firstLineChars="200"/>
        <w:textAlignment w:val="auto"/>
        <w:rPr>
          <w:rFonts w:hint="eastAsia" w:ascii="原版宋体" w:hAnsi="原版宋体" w:eastAsia="仿宋_GB2312" w:cs="仿宋_GB2312"/>
          <w:color w:val="000000" w:themeColor="text1"/>
          <w14:textFill>
            <w14:solidFill>
              <w14:schemeClr w14:val="tx1"/>
            </w14:solidFill>
          </w14:textFill>
        </w:rPr>
      </w:pPr>
      <w:r>
        <w:rPr>
          <w:rFonts w:hint="eastAsia" w:ascii="原版宋体" w:hAnsi="原版宋体" w:eastAsia="仿宋_GB2312" w:cs="仿宋_GB2312"/>
          <w:color w:val="000000" w:themeColor="text1"/>
          <w14:textFill>
            <w14:solidFill>
              <w14:schemeClr w14:val="tx1"/>
            </w14:solidFill>
          </w14:textFill>
        </w:rPr>
        <w:t>附表1：晋升高级职称工作量要求</w:t>
      </w:r>
    </w:p>
    <w:p>
      <w:pPr>
        <w:rPr>
          <w:rFonts w:hint="eastAsia" w:ascii="原版宋体" w:hAnsi="原版宋体" w:eastAsia="仿宋_GB2312" w:cs="仿宋_GB2312"/>
          <w:color w:val="000000" w:themeColor="text1"/>
          <w14:textFill>
            <w14:solidFill>
              <w14:schemeClr w14:val="tx1"/>
            </w14:solidFill>
          </w14:textFill>
        </w:rPr>
        <w:sectPr>
          <w:pgSz w:w="11906" w:h="16838"/>
          <w:pgMar w:top="2098" w:right="1531" w:bottom="1587" w:left="1531" w:header="851" w:footer="1191" w:gutter="0"/>
          <w:pgNumType w:fmt="decimal"/>
          <w:cols w:space="0" w:num="1"/>
          <w:docGrid w:type="lines" w:linePitch="595" w:charSpace="0"/>
        </w:sectPr>
      </w:pPr>
      <w:r>
        <w:rPr>
          <w:rFonts w:hint="eastAsia" w:ascii="原版宋体" w:hAnsi="原版宋体" w:eastAsia="仿宋_GB2312" w:cs="仿宋_GB2312"/>
          <w:color w:val="000000" w:themeColor="text1"/>
          <w:szCs w:val="32"/>
          <w14:textFill>
            <w14:solidFill>
              <w14:schemeClr w14:val="tx1"/>
            </w14:solidFill>
          </w14:textFill>
        </w:rPr>
        <w:br w:type="page"/>
      </w:r>
    </w:p>
    <w:p>
      <w:pPr>
        <w:widowControl/>
        <w:jc w:val="left"/>
        <w:rPr>
          <w:rFonts w:hint="eastAsia" w:ascii="黑体" w:hAnsi="黑体" w:eastAsia="黑体" w:cs="黑体"/>
          <w:bCs/>
          <w:color w:val="000000" w:themeColor="text1"/>
          <w:kern w:val="0"/>
          <w:szCs w:val="32"/>
          <w14:textFill>
            <w14:solidFill>
              <w14:schemeClr w14:val="tx1"/>
            </w14:solidFill>
          </w14:textFill>
        </w:rPr>
      </w:pPr>
      <w:r>
        <w:rPr>
          <w:rFonts w:hint="eastAsia" w:ascii="黑体" w:hAnsi="黑体" w:eastAsia="黑体" w:cs="黑体"/>
          <w:bCs/>
          <w:color w:val="000000" w:themeColor="text1"/>
          <w:kern w:val="0"/>
          <w:szCs w:val="32"/>
          <w14:textFill>
            <w14:solidFill>
              <w14:schemeClr w14:val="tx1"/>
            </w14:solidFill>
          </w14:textFill>
        </w:rPr>
        <w:t>附表1</w:t>
      </w:r>
    </w:p>
    <w:p>
      <w:pPr>
        <w:widowControl/>
        <w:jc w:val="center"/>
        <w:rPr>
          <w:rFonts w:hint="eastAsia" w:ascii="方正小标宋_GBK" w:hAnsi="方正小标宋_GBK" w:eastAsia="方正小标宋_GBK" w:cs="方正小标宋_GBK"/>
          <w:bCs/>
          <w:color w:val="000000" w:themeColor="text1"/>
          <w:kern w:val="0"/>
          <w:szCs w:val="32"/>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晋升高级职称工作量要求</w:t>
      </w:r>
    </w:p>
    <w:tbl>
      <w:tblPr>
        <w:tblStyle w:val="6"/>
        <w:tblW w:w="13874" w:type="dxa"/>
        <w:jc w:val="center"/>
        <w:tblLayout w:type="fixed"/>
        <w:tblCellMar>
          <w:top w:w="15" w:type="dxa"/>
          <w:left w:w="15" w:type="dxa"/>
          <w:bottom w:w="15" w:type="dxa"/>
          <w:right w:w="15" w:type="dxa"/>
        </w:tblCellMar>
      </w:tblPr>
      <w:tblGrid>
        <w:gridCol w:w="705"/>
        <w:gridCol w:w="985"/>
        <w:gridCol w:w="2363"/>
        <w:gridCol w:w="836"/>
        <w:gridCol w:w="2094"/>
        <w:gridCol w:w="1674"/>
        <w:gridCol w:w="5217"/>
      </w:tblGrid>
      <w:tr>
        <w:tblPrEx>
          <w:tblCellMar>
            <w:top w:w="15" w:type="dxa"/>
            <w:left w:w="15" w:type="dxa"/>
            <w:bottom w:w="15" w:type="dxa"/>
            <w:right w:w="15" w:type="dxa"/>
          </w:tblCellMar>
        </w:tblPrEx>
        <w:trPr>
          <w:trHeight w:val="837" w:hRule="exac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专业</w:t>
            </w:r>
          </w:p>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类别</w:t>
            </w: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评价项目</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单位</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副高职称</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正高职称</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临床专业</w:t>
            </w:r>
          </w:p>
        </w:tc>
      </w:tr>
      <w:tr>
        <w:tblPrEx>
          <w:tblCellMar>
            <w:top w:w="15" w:type="dxa"/>
            <w:left w:w="15" w:type="dxa"/>
            <w:bottom w:w="15" w:type="dxa"/>
            <w:right w:w="15" w:type="dxa"/>
          </w:tblCellMar>
        </w:tblPrEx>
        <w:trPr>
          <w:trHeight w:val="731" w:hRule="atLeast"/>
          <w:jc w:val="center"/>
        </w:trPr>
        <w:tc>
          <w:tcPr>
            <w:tcW w:w="705"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临床</w:t>
            </w: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非手术为主临床专业</w:t>
            </w: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（有病房）</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单元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600</w:t>
            </w:r>
          </w:p>
        </w:tc>
        <w:tc>
          <w:tcPr>
            <w:tcW w:w="52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心血管内科学、呼吸内科学、消化内科学、血液病学、内分泌学、风湿病学、结核病学、肾内科学、传染病学、神经内科学、精神病学、肿瘤内科学、放射肿瘤治疗学、小儿内科学、新生儿科学等，对有病房的皮肤与性病学、康复医学、疼痛学、全科医学可参照此执行。</w:t>
            </w:r>
          </w:p>
        </w:tc>
      </w:tr>
      <w:tr>
        <w:tblPrEx>
          <w:tblCellMar>
            <w:top w:w="15" w:type="dxa"/>
            <w:left w:w="15" w:type="dxa"/>
            <w:bottom w:w="15" w:type="dxa"/>
            <w:right w:w="15" w:type="dxa"/>
          </w:tblCellMar>
        </w:tblPrEx>
        <w:trPr>
          <w:trHeight w:val="705"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（参与或作为治疗</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组长）</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人次</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1000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1000</w:t>
            </w:r>
          </w:p>
        </w:tc>
        <w:tc>
          <w:tcPr>
            <w:tcW w:w="52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690"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（无病房）</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单元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800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皮肤与性病学、精神病学、康复医学、疼痛学、全科医学等</w:t>
            </w:r>
          </w:p>
        </w:tc>
      </w:tr>
      <w:tr>
        <w:tblPrEx>
          <w:tblCellMar>
            <w:top w:w="15" w:type="dxa"/>
            <w:left w:w="15" w:type="dxa"/>
            <w:bottom w:w="15" w:type="dxa"/>
            <w:right w:w="15" w:type="dxa"/>
          </w:tblCellMar>
        </w:tblPrEx>
        <w:trPr>
          <w:trHeight w:val="761"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手术/操作人次</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人次</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Style w:val="14"/>
                <w:rFonts w:hint="eastAsia" w:ascii="原版宋体" w:hAnsi="原版宋体" w:eastAsia="仿宋_GB2312" w:cs="仿宋_GB2312"/>
                <w:color w:val="000000" w:themeColor="text1"/>
                <w:sz w:val="24"/>
                <w:szCs w:val="24"/>
                <w14:textFill>
                  <w14:solidFill>
                    <w14:schemeClr w14:val="tx1"/>
                  </w14:solidFill>
                </w14:textFill>
              </w:rPr>
              <w:t>内镜 5000；支气管镜200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Style w:val="14"/>
                <w:rFonts w:hint="eastAsia" w:ascii="原版宋体" w:hAnsi="原版宋体" w:eastAsia="仿宋_GB2312" w:cs="仿宋_GB2312"/>
                <w:color w:val="000000" w:themeColor="text1"/>
                <w:sz w:val="24"/>
                <w:szCs w:val="24"/>
                <w14:textFill>
                  <w14:solidFill>
                    <w14:schemeClr w14:val="tx1"/>
                  </w14:solidFill>
                </w14:textFill>
              </w:rPr>
              <w:t>内镜5000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消化内科学、呼吸内科学</w:t>
            </w:r>
          </w:p>
        </w:tc>
      </w:tr>
      <w:tr>
        <w:tblPrEx>
          <w:tblCellMar>
            <w:top w:w="15" w:type="dxa"/>
            <w:left w:w="15" w:type="dxa"/>
            <w:bottom w:w="15" w:type="dxa"/>
            <w:right w:w="15" w:type="dxa"/>
          </w:tblCellMar>
        </w:tblPrEx>
        <w:trPr>
          <w:trHeight w:val="1000" w:hRule="atLeast"/>
          <w:jc w:val="center"/>
        </w:trPr>
        <w:tc>
          <w:tcPr>
            <w:tcW w:w="705" w:type="dxa"/>
            <w:vMerge w:val="continue"/>
            <w:tcBorders>
              <w:left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985" w:type="dxa"/>
            <w:vMerge w:val="restart"/>
            <w:tcBorders>
              <w:top w:val="single" w:color="000000" w:sz="4" w:space="0"/>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手术为主临床专业</w:t>
            </w:r>
          </w:p>
        </w:tc>
        <w:tc>
          <w:tcPr>
            <w:tcW w:w="2363"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（有病房）</w:t>
            </w:r>
          </w:p>
        </w:tc>
        <w:tc>
          <w:tcPr>
            <w:tcW w:w="836"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单元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普通外科学、骨外科学、泌尿外科学、小儿外科学、妇产科学、生殖医学、计划生育、耳鼻咽喉（头颈外）科学、眼科学、介入治疗等</w:t>
            </w:r>
          </w:p>
        </w:tc>
      </w:tr>
      <w:tr>
        <w:tblPrEx>
          <w:tblCellMar>
            <w:top w:w="15" w:type="dxa"/>
            <w:left w:w="15" w:type="dxa"/>
            <w:bottom w:w="15" w:type="dxa"/>
            <w:right w:w="15" w:type="dxa"/>
          </w:tblCellMar>
        </w:tblPrEx>
        <w:trPr>
          <w:trHeight w:val="772" w:hRule="atLeast"/>
          <w:jc w:val="center"/>
        </w:trPr>
        <w:tc>
          <w:tcPr>
            <w:tcW w:w="705" w:type="dxa"/>
            <w:vMerge w:val="continue"/>
            <w:tcBorders>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985"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2363"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836"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w:t>
            </w:r>
          </w:p>
        </w:tc>
        <w:tc>
          <w:tcPr>
            <w:tcW w:w="167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14"/>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胸心外科学、神经外科学、烧伤外科学、整形外科学</w:t>
            </w:r>
          </w:p>
        </w:tc>
      </w:tr>
    </w:tbl>
    <w:p>
      <w:pPr>
        <w:pStyle w:val="5"/>
        <w:spacing w:line="280" w:lineRule="exact"/>
        <w:jc w:val="both"/>
        <w:rPr>
          <w:rFonts w:hint="eastAsia" w:ascii="原版宋体" w:hAnsi="原版宋体" w:eastAsia="仿宋_GB2312" w:cs="仿宋_GB2312"/>
          <w:color w:val="000000" w:themeColor="text1"/>
          <w14:textFill>
            <w14:solidFill>
              <w14:schemeClr w14:val="tx1"/>
            </w14:solidFill>
          </w14:textFill>
        </w:rPr>
      </w:pPr>
    </w:p>
    <w:tbl>
      <w:tblPr>
        <w:tblStyle w:val="6"/>
        <w:tblW w:w="14443" w:type="dxa"/>
        <w:jc w:val="center"/>
        <w:tblLayout w:type="fixed"/>
        <w:tblCellMar>
          <w:top w:w="15" w:type="dxa"/>
          <w:left w:w="15" w:type="dxa"/>
          <w:bottom w:w="15" w:type="dxa"/>
          <w:right w:w="15" w:type="dxa"/>
        </w:tblCellMar>
      </w:tblPr>
      <w:tblGrid>
        <w:gridCol w:w="965"/>
        <w:gridCol w:w="1007"/>
        <w:gridCol w:w="2524"/>
        <w:gridCol w:w="762"/>
        <w:gridCol w:w="1975"/>
        <w:gridCol w:w="1941"/>
        <w:gridCol w:w="5269"/>
      </w:tblGrid>
      <w:tr>
        <w:tblPrEx>
          <w:tblCellMar>
            <w:top w:w="15" w:type="dxa"/>
            <w:left w:w="15" w:type="dxa"/>
            <w:bottom w:w="15" w:type="dxa"/>
            <w:right w:w="15" w:type="dxa"/>
          </w:tblCellMar>
        </w:tblPrEx>
        <w:trPr>
          <w:trHeight w:val="680" w:hRule="atLeast"/>
          <w:tblHeader/>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专业</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类别</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评价项目</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单位</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副高职称</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晋升</w:t>
            </w:r>
          </w:p>
          <w:p>
            <w:pPr>
              <w:widowControl/>
              <w:spacing w:line="36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正高职称</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临床专业</w:t>
            </w:r>
          </w:p>
        </w:tc>
      </w:tr>
      <w:tr>
        <w:tblPrEx>
          <w:tblCellMar>
            <w:top w:w="15" w:type="dxa"/>
            <w:left w:w="15" w:type="dxa"/>
            <w:bottom w:w="15" w:type="dxa"/>
            <w:right w:w="15" w:type="dxa"/>
          </w:tblCellMar>
        </w:tblPrEx>
        <w:trPr>
          <w:trHeight w:val="680" w:hRule="atLeast"/>
          <w:jc w:val="center"/>
        </w:trPr>
        <w:tc>
          <w:tcPr>
            <w:tcW w:w="965"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临床</w:t>
            </w: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手术为主临床专业</w:t>
            </w:r>
          </w:p>
        </w:tc>
        <w:tc>
          <w:tcPr>
            <w:tcW w:w="2524" w:type="dxa"/>
            <w:vMerge w:val="restart"/>
            <w:tcBorders>
              <w:top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（参与或作为治疗</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组长）</w:t>
            </w:r>
          </w:p>
        </w:tc>
        <w:tc>
          <w:tcPr>
            <w:tcW w:w="7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胸心外科学（心外）、神经外科学、烧伤外科学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continue"/>
            <w:tcBorders>
              <w:top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1500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2000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普通外科学、骨外科学、妇产科学、生殖医学、眼科学、介入治疗</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continue"/>
            <w:tcBorders>
              <w:top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600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胸心外科学（胸外）、泌尿外科学、耳鼻咽喉（头颈外）科学、小儿外科学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出院患者手术</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/操作人次</w:t>
            </w:r>
          </w:p>
        </w:tc>
        <w:tc>
          <w:tcPr>
            <w:tcW w:w="7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800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普通外科学、骨外科学、眼科学、整形外科学、计划生育、介入治疗</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胸心外科学（胸外），泌尿外科学、小儿外科学、耳鼻咽喉（头颈外）科学、妇产科学、生殖医学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762"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200</w:t>
            </w:r>
          </w:p>
        </w:tc>
        <w:tc>
          <w:tcPr>
            <w:tcW w:w="1941"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w:t>
            </w:r>
          </w:p>
        </w:tc>
        <w:tc>
          <w:tcPr>
            <w:tcW w:w="5269"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胸心外科学（心外）、神经外科学、烧伤外科学</w:t>
            </w:r>
          </w:p>
        </w:tc>
      </w:tr>
      <w:tr>
        <w:tblPrEx>
          <w:tblCellMar>
            <w:top w:w="15" w:type="dxa"/>
            <w:left w:w="15" w:type="dxa"/>
            <w:bottom w:w="15" w:type="dxa"/>
            <w:right w:w="15" w:type="dxa"/>
          </w:tblCellMar>
        </w:tblPrEx>
        <w:trPr>
          <w:trHeight w:val="680" w:hRule="atLeast"/>
          <w:jc w:val="center"/>
        </w:trPr>
        <w:tc>
          <w:tcPr>
            <w:tcW w:w="965"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临床</w:t>
            </w:r>
          </w:p>
        </w:tc>
        <w:tc>
          <w:tcPr>
            <w:tcW w:w="1007"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其他临床专业</w:t>
            </w:r>
          </w:p>
        </w:tc>
        <w:tc>
          <w:tcPr>
            <w:tcW w:w="2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参与诊疗患者人数</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人次</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1500</w:t>
            </w:r>
          </w:p>
        </w:tc>
        <w:tc>
          <w:tcPr>
            <w:tcW w:w="194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1000</w:t>
            </w:r>
          </w:p>
        </w:tc>
        <w:tc>
          <w:tcPr>
            <w:tcW w:w="52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急诊医学、重症医学、麻醉学、疼痛学、临床医学检验学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2524" w:type="dxa"/>
            <w:vMerge w:val="restart"/>
            <w:tcBorders>
              <w:top w:val="single" w:color="auto" w:sz="4" w:space="0"/>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签发检查报告份数</w:t>
            </w:r>
          </w:p>
          <w:p>
            <w:pPr>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份</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7500</w:t>
            </w:r>
          </w:p>
        </w:tc>
        <w:tc>
          <w:tcPr>
            <w:tcW w:w="194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5000</w:t>
            </w:r>
          </w:p>
        </w:tc>
        <w:tc>
          <w:tcPr>
            <w:tcW w:w="52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临床医学检验学、心电诊断学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762" w:type="dxa"/>
            <w:tcBorders>
              <w:top w:val="single" w:color="auto"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份</w:t>
            </w:r>
          </w:p>
        </w:tc>
        <w:tc>
          <w:tcPr>
            <w:tcW w:w="1975"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5000</w:t>
            </w:r>
          </w:p>
        </w:tc>
        <w:tc>
          <w:tcPr>
            <w:tcW w:w="1941"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5000</w:t>
            </w:r>
          </w:p>
        </w:tc>
        <w:tc>
          <w:tcPr>
            <w:tcW w:w="5269"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放射医学、超声医学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2524"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762" w:type="dxa"/>
            <w:tcBorders>
              <w:top w:val="single" w:color="000000" w:sz="4" w:space="0"/>
              <w:left w:val="single" w:color="auto" w:sz="4" w:space="0"/>
              <w:bottom w:val="single" w:color="auto"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份</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4000</w:t>
            </w:r>
          </w:p>
        </w:tc>
        <w:tc>
          <w:tcPr>
            <w:tcW w:w="52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病理学、脑电诊断学</w:t>
            </w:r>
          </w:p>
        </w:tc>
      </w:tr>
      <w:tr>
        <w:tblPrEx>
          <w:tblCellMar>
            <w:top w:w="15" w:type="dxa"/>
            <w:left w:w="15" w:type="dxa"/>
            <w:bottom w:w="15" w:type="dxa"/>
            <w:right w:w="15" w:type="dxa"/>
          </w:tblCellMar>
        </w:tblPrEx>
        <w:trPr>
          <w:trHeight w:val="680" w:hRule="atLeast"/>
          <w:jc w:val="center"/>
        </w:trPr>
        <w:tc>
          <w:tcPr>
            <w:tcW w:w="965"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vMerge w:val="continue"/>
            <w:tcBorders>
              <w:left w:val="single" w:color="auto" w:sz="4" w:space="0"/>
              <w:bottom w:val="single" w:color="000000" w:sz="4" w:space="0"/>
              <w:right w:val="single" w:color="auto"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762" w:type="dxa"/>
            <w:tcBorders>
              <w:top w:val="single" w:color="auto"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份</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2500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3000</w:t>
            </w:r>
          </w:p>
        </w:tc>
        <w:tc>
          <w:tcPr>
            <w:tcW w:w="5269"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核医学</w:t>
            </w:r>
          </w:p>
        </w:tc>
      </w:tr>
      <w:tr>
        <w:tblPrEx>
          <w:tblCellMar>
            <w:top w:w="15" w:type="dxa"/>
            <w:left w:w="15" w:type="dxa"/>
            <w:bottom w:w="15" w:type="dxa"/>
            <w:right w:w="15" w:type="dxa"/>
          </w:tblCellMar>
        </w:tblPrEx>
        <w:trPr>
          <w:trHeight w:val="567" w:hRule="atLeast"/>
          <w:jc w:val="center"/>
        </w:trPr>
        <w:tc>
          <w:tcPr>
            <w:tcW w:w="965"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中医</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非手术为主专业</w:t>
            </w: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（有病房）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600</w:t>
            </w:r>
          </w:p>
        </w:tc>
        <w:tc>
          <w:tcPr>
            <w:tcW w:w="526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由各医院自行确定手术专业和非手术专业</w:t>
            </w: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（参与或作为治疗</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组长）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600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900</w:t>
            </w:r>
          </w:p>
        </w:tc>
        <w:tc>
          <w:tcPr>
            <w:tcW w:w="526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（无病房）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800</w:t>
            </w:r>
          </w:p>
        </w:tc>
        <w:tc>
          <w:tcPr>
            <w:tcW w:w="526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spacing w:line="280" w:lineRule="exact"/>
              <w:jc w:val="center"/>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1007"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手术为主专业</w:t>
            </w: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（有病房）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5269" w:type="dxa"/>
            <w:vMerge w:val="continue"/>
            <w:tcBorders>
              <w:top w:val="single" w:color="auto" w:sz="4" w:space="0"/>
              <w:left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出院人数</w:t>
            </w:r>
          </w:p>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（参与或作为治疗</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组长）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5269" w:type="dxa"/>
            <w:vMerge w:val="continue"/>
            <w:tcBorders>
              <w:left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right w:val="single" w:color="auto" w:sz="4" w:space="0"/>
            </w:tcBorders>
            <w:vAlign w:val="center"/>
          </w:tcPr>
          <w:p>
            <w:pPr>
              <w:widowControl/>
              <w:spacing w:line="280" w:lineRule="exact"/>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1007"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出院患者手术</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/操作人次</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5269" w:type="dxa"/>
            <w:vMerge w:val="continue"/>
            <w:tcBorders>
              <w:left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1007"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b/>
                <w:bCs/>
                <w:color w:val="000000" w:themeColor="text1"/>
                <w:kern w:val="0"/>
                <w:sz w:val="24"/>
                <w:szCs w:val="24"/>
                <w14:textFill>
                  <w14:solidFill>
                    <w14:schemeClr w14:val="tx1"/>
                  </w14:solidFill>
                </w14:textFill>
              </w:rPr>
            </w:pPr>
          </w:p>
        </w:tc>
        <w:tc>
          <w:tcPr>
            <w:tcW w:w="252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（无病房）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1941" w:type="dxa"/>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800</w:t>
            </w:r>
          </w:p>
        </w:tc>
        <w:tc>
          <w:tcPr>
            <w:tcW w:w="5269"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口腔</w:t>
            </w:r>
          </w:p>
        </w:tc>
        <w:tc>
          <w:tcPr>
            <w:tcW w:w="1007"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无病房科室</w:t>
            </w:r>
          </w:p>
        </w:tc>
        <w:tc>
          <w:tcPr>
            <w:tcW w:w="2524"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tc>
        <w:tc>
          <w:tcPr>
            <w:tcW w:w="762"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单元</w:t>
            </w:r>
          </w:p>
        </w:tc>
        <w:tc>
          <w:tcPr>
            <w:tcW w:w="1975"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800</w:t>
            </w:r>
          </w:p>
        </w:tc>
        <w:tc>
          <w:tcPr>
            <w:tcW w:w="1941"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800</w:t>
            </w:r>
          </w:p>
        </w:tc>
        <w:tc>
          <w:tcPr>
            <w:tcW w:w="5269"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exac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诊疗人次</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有病房科室</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门诊工作量</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单元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exac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pacing w:val="-23"/>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出院人数</w:t>
            </w:r>
            <w:r>
              <w:rPr>
                <w:rFonts w:hint="eastAsia" w:ascii="原版宋体" w:hAnsi="原版宋体" w:eastAsia="仿宋_GB2312" w:cs="仿宋_GB2312"/>
                <w:color w:val="000000" w:themeColor="text1"/>
                <w:spacing w:val="-23"/>
                <w:kern w:val="0"/>
                <w:sz w:val="24"/>
                <w:szCs w:val="24"/>
                <w14:textFill>
                  <w14:solidFill>
                    <w14:schemeClr w14:val="tx1"/>
                  </w14:solidFill>
                </w14:textFill>
              </w:rPr>
              <w:t>（参与或</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pacing w:val="-23"/>
                <w:kern w:val="0"/>
                <w:sz w:val="24"/>
                <w:szCs w:val="24"/>
                <w14:textFill>
                  <w14:solidFill>
                    <w14:schemeClr w14:val="tx1"/>
                  </w14:solidFill>
                </w14:textFill>
              </w:rPr>
              <w:t>作为治疗组组长）</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350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500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567" w:hRule="exac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出院患者手术</w:t>
            </w:r>
          </w:p>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/操作人次数</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sz w:val="24"/>
                <w:szCs w:val="24"/>
                <w14:textFill>
                  <w14:solidFill>
                    <w14:schemeClr w14:val="tx1"/>
                  </w14:solidFill>
                </w14:textFill>
              </w:rPr>
              <w:t>人次</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300</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400</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原版宋体" w:hAnsi="原版宋体" w:eastAsia="仿宋_GB2312" w:cs="仿宋_GB2312"/>
                <w:b/>
                <w:b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120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公卫</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原版宋体" w:hAnsi="原版宋体" w:eastAsia="仿宋_GB2312" w:cs="仿宋_GB2312"/>
                <w:color w:val="000000" w:themeColor="text1"/>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平均每年参加本专业工作时间不少于40周，其中现场工作或在基层工作天数不少于60天/年。</w:t>
            </w:r>
          </w:p>
        </w:tc>
        <w:tc>
          <w:tcPr>
            <w:tcW w:w="1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原版宋体" w:hAnsi="原版宋体" w:eastAsia="仿宋_GB2312" w:cs="仿宋_GB2312"/>
                <w:color w:val="000000" w:themeColor="text1"/>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平均每年参加本专业工作时间不少于35周，其中现场工作或在基层工作天数不少于60天/年。</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263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护理</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平均每年参加临床护理、护理管理、护理教学工作时间总计不少于40周，病历首页责任护士和质控护士记录累计不少于480条（急诊、重症、手术室、血透、导管室等科室从相应记录单提取护士记录）。</w:t>
            </w:r>
          </w:p>
        </w:tc>
        <w:tc>
          <w:tcPr>
            <w:tcW w:w="1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平均每年参加临床护理、护理管理、护理教学工作时间总计不少于35周，病历首页责任护士和质控护士记录累计不少于240条（急诊、重症、手术室、血透、导管室等科室从相应记录单提取护士记录）。</w:t>
            </w: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840"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药学</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原版宋体" w:hAnsi="原版宋体" w:eastAsia="仿宋_GB2312" w:cs="仿宋_GB2312"/>
                <w:color w:val="000000" w:themeColor="text1"/>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平均每年参加药学专业工作时间不少于40周。</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p>
        </w:tc>
        <w:tc>
          <w:tcPr>
            <w:tcW w:w="1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平均每年参加药学专业工作时间不少于35周。</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835" w:hRule="exact"/>
          <w:jc w:val="center"/>
        </w:trPr>
        <w:tc>
          <w:tcPr>
            <w:tcW w:w="9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医学</w:t>
            </w:r>
          </w:p>
          <w:p>
            <w:pPr>
              <w:widowControl/>
              <w:spacing w:line="320" w:lineRule="exact"/>
              <w:jc w:val="center"/>
              <w:textAlignment w:val="center"/>
              <w:rPr>
                <w:rFonts w:hint="eastAsia" w:ascii="原版宋体" w:hAnsi="原版宋体" w:eastAsia="仿宋_GB2312" w:cs="仿宋_GB2312"/>
                <w:color w:val="000000" w:themeColor="text1"/>
                <w:kern w:val="0"/>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技术</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2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原版宋体" w:hAnsi="原版宋体" w:eastAsia="仿宋_GB2312" w:cs="仿宋_GB2312"/>
                <w:color w:val="000000" w:themeColor="text1"/>
                <w:sz w:val="24"/>
                <w:szCs w:val="24"/>
                <w14:textFill>
                  <w14:solidFill>
                    <w14:schemeClr w14:val="tx1"/>
                  </w14:solidFill>
                </w14:textFill>
              </w:rPr>
            </w:pPr>
            <w:r>
              <w:rPr>
                <w:rFonts w:hint="eastAsia" w:ascii="原版宋体" w:hAnsi="原版宋体" w:eastAsia="仿宋_GB2312" w:cs="仿宋_GB2312"/>
                <w:color w:val="000000" w:themeColor="text1"/>
                <w:kern w:val="0"/>
                <w:sz w:val="24"/>
                <w:szCs w:val="24"/>
                <w14:textFill>
                  <w14:solidFill>
                    <w14:schemeClr w14:val="tx1"/>
                  </w14:solidFill>
                </w14:textFill>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原版宋体" w:hAnsi="原版宋体" w:eastAsia="仿宋_GB2312" w:cs="仿宋_GB2312"/>
                <w:color w:val="000000" w:themeColor="text1"/>
                <w:kern w:val="0"/>
                <w:sz w:val="24"/>
                <w:szCs w:val="24"/>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平均每年参加本专业工作时间不少于40周。</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p>
        </w:tc>
        <w:tc>
          <w:tcPr>
            <w:tcW w:w="1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r>
              <w:rPr>
                <w:rFonts w:hint="eastAsia" w:ascii="原版宋体" w:hAnsi="原版宋体" w:eastAsia="仿宋_GB2312" w:cs="仿宋_GB2312"/>
                <w:color w:val="000000" w:themeColor="text1"/>
                <w:kern w:val="0"/>
                <w:sz w:val="21"/>
                <w:szCs w:val="21"/>
                <w14:textFill>
                  <w14:solidFill>
                    <w14:schemeClr w14:val="tx1"/>
                  </w14:solidFill>
                </w14:textFill>
              </w:rPr>
              <w:t>平均每年参加本专业工作时间不少于35周。</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原版宋体" w:hAnsi="原版宋体" w:eastAsia="仿宋_GB2312" w:cs="仿宋_GB2312"/>
                <w:color w:val="000000" w:themeColor="text1"/>
                <w:kern w:val="0"/>
                <w:sz w:val="21"/>
                <w:szCs w:val="21"/>
                <w14:textFill>
                  <w14:solidFill>
                    <w14:schemeClr w14:val="tx1"/>
                  </w14:solidFill>
                </w14:textFill>
              </w:rPr>
            </w:pPr>
          </w:p>
        </w:tc>
        <w:tc>
          <w:tcPr>
            <w:tcW w:w="52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原版宋体" w:hAnsi="原版宋体" w:eastAsia="仿宋_GB2312" w:cs="仿宋_GB2312"/>
                <w:color w:val="000000" w:themeColor="text1"/>
                <w:sz w:val="24"/>
                <w:szCs w:val="24"/>
                <w14:textFill>
                  <w14:solidFill>
                    <w14:schemeClr w14:val="tx1"/>
                  </w14:solidFill>
                </w14:textFill>
              </w:rPr>
            </w:pPr>
            <w:bookmarkStart w:id="0" w:name="_GoBack"/>
            <w:bookmarkEnd w:id="0"/>
          </w:p>
        </w:tc>
      </w:tr>
    </w:tbl>
    <w:p>
      <w:pPr>
        <w:snapToGrid w:val="0"/>
        <w:spacing w:line="320" w:lineRule="exact"/>
        <w:jc w:val="left"/>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注：1.工作量指标是中级晋升副高、副高晋升正高期间的完成工作量，均从聘任时间开始计算。半天（4小时）接诊不少于15位为1个有效单元。非急诊科医生在5年期间如轮转急诊科，工作期间按照4小时为一个门诊单元数计算。针灸、推拿（按摩）、刮痧、拔罐等中医治疗技术，因受手法操作时间限制，工作量按照4小时为1个门诊单元数计算，不考虑治疗病人数量。</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2.肾内科学专业透析工作按照4小时为一个门诊单元计算；传染病学专业医师门诊工作量包含发热门诊、肠道门诊工作时间和会诊时间，如无病房则放入无病房组。</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3.全科医学专业医师门诊工作量包含下基层指导工作时间，如无病房则放入无病房组。</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4.内镜诊疗5000人次（含内镜下治疗手术，晋升副主任医师至少500例，晋升主任医师至少800例，门诊患者和出院患者均包括）为消化内科学专业必备的申报条件之一。</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5.呼吸内镜诊疗200人次（含呼吸内镜下检查与治疗，门诊患者和出院患者均包括）为呼吸内科学专业必备的申报条件之一。</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6.心血管内科学和神经内科学及其他有介入治疗的专业可参照手术为主临床专业执行。</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7.整形外科学和计划生育学专业的工作量指标不含出院人数，其出院患者手术/操作人次数调整为手术/操作人次数（含门诊患者和出院患者手术/操作人次数）。</w:t>
      </w:r>
    </w:p>
    <w:p>
      <w:pPr>
        <w:snapToGrid w:val="0"/>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8.出院患者手术/操作人次晋升副主任医师以主刀或一助计算；晋升主任医师以主刀计算。</w:t>
      </w:r>
    </w:p>
    <w:p>
      <w:pPr>
        <w:spacing w:line="320" w:lineRule="exact"/>
        <w:ind w:firstLine="476"/>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9.临床医学检验学专业中，形态、血液、微生物等亚专业申报条件为参与诊疗患者人次数，临检、生化、免疫等亚专业的申报条件为签发检查报告份数。</w:t>
      </w:r>
    </w:p>
    <w:p>
      <w:pPr>
        <w:spacing w:line="320" w:lineRule="exact"/>
        <w:ind w:firstLine="480" w:firstLineChars="200"/>
        <w:rPr>
          <w:rFonts w:hint="eastAsia" w:ascii="原版宋体" w:hAnsi="原版宋体" w:eastAsia="仿宋_GB2312" w:cs="仿宋_GB2312"/>
          <w:color w:val="000000" w:themeColor="text1"/>
          <w:sz w:val="24"/>
          <w14:textFill>
            <w14:solidFill>
              <w14:schemeClr w14:val="tx1"/>
            </w14:solidFill>
          </w14:textFill>
        </w:rPr>
      </w:pPr>
      <w:r>
        <w:rPr>
          <w:rFonts w:hint="eastAsia" w:ascii="原版宋体" w:hAnsi="原版宋体" w:eastAsia="仿宋_GB2312" w:cs="仿宋_GB2312"/>
          <w:color w:val="000000" w:themeColor="text1"/>
          <w:sz w:val="24"/>
          <w14:textFill>
            <w14:solidFill>
              <w14:schemeClr w14:val="tx1"/>
            </w14:solidFill>
          </w14:textFill>
        </w:rPr>
        <w:t>10.各单位结合上述工作量考核原则，合理细化本单位各专业工作量考核指标。</w:t>
      </w:r>
    </w:p>
    <w:p>
      <w:pPr>
        <w:pStyle w:val="2"/>
        <w:rPr>
          <w:rFonts w:hint="eastAsia" w:ascii="原版宋体" w:hAnsi="原版宋体" w:eastAsia="仿宋_GB2312" w:cs="仿宋_GB2312"/>
          <w:color w:val="000000" w:themeColor="text1"/>
          <w14:textFill>
            <w14:solidFill>
              <w14:schemeClr w14:val="tx1"/>
            </w14:solidFill>
          </w14:textFill>
        </w:rPr>
        <w:sectPr>
          <w:footerReference r:id="rId4" w:type="default"/>
          <w:pgSz w:w="16838" w:h="11906" w:orient="landscape"/>
          <w:pgMar w:top="1417" w:right="1474" w:bottom="1417" w:left="1474" w:header="851" w:footer="1531" w:gutter="0"/>
          <w:pgNumType w:fmt="decimal"/>
          <w:cols w:space="0" w:num="1"/>
          <w:rtlGutter w:val="0"/>
          <w:docGrid w:type="lines" w:linePitch="595" w:charSpace="0"/>
        </w:sectPr>
      </w:pPr>
    </w:p>
    <w:p>
      <w:pPr>
        <w:keepNext w:val="0"/>
        <w:keepLines w:val="0"/>
        <w:pageBreakBefore w:val="0"/>
        <w:widowControl w:val="0"/>
        <w:kinsoku/>
        <w:wordWrap w:val="0"/>
        <w:overflowPunct/>
        <w:topLinePunct w:val="0"/>
        <w:autoSpaceDE/>
        <w:autoSpaceDN/>
        <w:bidi w:val="0"/>
        <w:adjustRightInd/>
        <w:snapToGrid/>
        <w:ind w:firstLine="320" w:firstLineChars="100"/>
        <w:jc w:val="right"/>
        <w:textAlignment w:val="auto"/>
        <w:rPr>
          <w:rFonts w:hint="eastAsia"/>
        </w:rPr>
      </w:pPr>
    </w:p>
    <w:sectPr>
      <w:footerReference r:id="rId5" w:type="default"/>
      <w:pgSz w:w="11906" w:h="16838"/>
      <w:pgMar w:top="2098" w:right="1474" w:bottom="1984" w:left="1587" w:header="851" w:footer="992"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原版宋体">
    <w:altName w:val="宋体"/>
    <w:panose1 w:val="02010600030101010101"/>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20</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cUhcsBAACc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jHFIX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20</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AE873"/>
    <w:multiLevelType w:val="singleLevel"/>
    <w:tmpl w:val="16CAE8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90"/>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ZTgyZWI3ODI4NDFiNmM0MzEwYjNjN2VjYzE4ZWEifQ=="/>
  </w:docVars>
  <w:rsids>
    <w:rsidRoot w:val="4A6A30D5"/>
    <w:rsid w:val="00165578"/>
    <w:rsid w:val="002A125C"/>
    <w:rsid w:val="002A477A"/>
    <w:rsid w:val="002E66F2"/>
    <w:rsid w:val="0063797E"/>
    <w:rsid w:val="00683FAF"/>
    <w:rsid w:val="006C77C0"/>
    <w:rsid w:val="00701FF2"/>
    <w:rsid w:val="007078C3"/>
    <w:rsid w:val="00867FD2"/>
    <w:rsid w:val="009D26F6"/>
    <w:rsid w:val="00A34765"/>
    <w:rsid w:val="00B6755B"/>
    <w:rsid w:val="00C21556"/>
    <w:rsid w:val="00CA4B64"/>
    <w:rsid w:val="00CC292A"/>
    <w:rsid w:val="00D60279"/>
    <w:rsid w:val="00E22E73"/>
    <w:rsid w:val="026D3223"/>
    <w:rsid w:val="04CE3D21"/>
    <w:rsid w:val="097E7DAD"/>
    <w:rsid w:val="0D533A23"/>
    <w:rsid w:val="0DA818E3"/>
    <w:rsid w:val="0F164499"/>
    <w:rsid w:val="14376480"/>
    <w:rsid w:val="17A767F7"/>
    <w:rsid w:val="17AF9184"/>
    <w:rsid w:val="17FE1455"/>
    <w:rsid w:val="19A53977"/>
    <w:rsid w:val="1B2A06D7"/>
    <w:rsid w:val="22F0194B"/>
    <w:rsid w:val="2C1B2144"/>
    <w:rsid w:val="3C5C5CB6"/>
    <w:rsid w:val="3EEA6EB7"/>
    <w:rsid w:val="3FBB1BEF"/>
    <w:rsid w:val="424609DF"/>
    <w:rsid w:val="4A6A30D5"/>
    <w:rsid w:val="50D92577"/>
    <w:rsid w:val="5AED71A7"/>
    <w:rsid w:val="5EEF0BD1"/>
    <w:rsid w:val="6BF259A7"/>
    <w:rsid w:val="6DDFA2AC"/>
    <w:rsid w:val="6FFEFC04"/>
    <w:rsid w:val="72F30233"/>
    <w:rsid w:val="76D81EA3"/>
    <w:rsid w:val="7ADA10C0"/>
    <w:rsid w:val="7EFFEFEC"/>
    <w:rsid w:val="7FF25D63"/>
    <w:rsid w:val="9FCD1B27"/>
    <w:rsid w:val="FE763B1F"/>
    <w:rsid w:val="FEF5C509"/>
    <w:rsid w:val="FF7F64E7"/>
    <w:rsid w:val="FFDBA1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800" w:leftChars="800"/>
    </w:pPr>
    <w:rPr>
      <w:rFonts w:ascii="Calibri" w:hAnsi="Calibri"/>
      <w:szCs w:val="24"/>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jc w:val="center"/>
      <w:outlineLvl w:val="0"/>
    </w:pPr>
    <w:rPr>
      <w:rFonts w:ascii="Arial" w:hAnsi="Arial"/>
      <w:b/>
    </w:rPr>
  </w:style>
  <w:style w:type="table" w:styleId="7">
    <w:name w:val="Table Grid"/>
    <w:basedOn w:val="6"/>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Char"/>
    <w:basedOn w:val="8"/>
    <w:link w:val="4"/>
    <w:qFormat/>
    <w:uiPriority w:val="0"/>
    <w:rPr>
      <w:rFonts w:ascii="仿宋" w:hAnsi="仿宋" w:eastAsia="仿宋" w:cstheme="minorBidi"/>
      <w:kern w:val="2"/>
      <w:sz w:val="18"/>
      <w:szCs w:val="18"/>
    </w:rPr>
  </w:style>
  <w:style w:type="character" w:customStyle="1" w:styleId="12">
    <w:name w:val="页脚 Char"/>
    <w:basedOn w:val="8"/>
    <w:link w:val="2"/>
    <w:qFormat/>
    <w:uiPriority w:val="0"/>
    <w:rPr>
      <w:rFonts w:ascii="仿宋" w:hAnsi="仿宋" w:eastAsia="仿宋"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font4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4560</Words>
  <Characters>4765</Characters>
  <Lines>63</Lines>
  <Paragraphs>17</Paragraphs>
  <TotalTime>9</TotalTime>
  <ScaleCrop>false</ScaleCrop>
  <LinksUpToDate>false</LinksUpToDate>
  <CharactersWithSpaces>4767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2023-04-15T01:45:00Z</dcterms:created>
  <dc:creator>kpk</dc:creator>
  <cp:lastModifiedBy>娟</cp:lastModifiedBy>
  <cp:lastPrinted>2023-04-29T09:39:00Z</cp:lastPrinted>
  <dcterms:modified xsi:type="dcterms:W3CDTF">2023-05-04T09:24:53Z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07D58B0CBDC9448198416D4988BF8091_13</vt:lpwstr>
  </property>
</Properties>
</file>